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扬子江投资发展集团人才招聘</w:t>
      </w:r>
    </w:p>
    <w:p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应聘人员登记表</w:t>
      </w:r>
    </w:p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注明培养方向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主要职责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2Q2NGE3YzA5MjZjNzdjZGY2ZDc5YTI1OGQ3ZTgifQ=="/>
  </w:docVars>
  <w:rsids>
    <w:rsidRoot w:val="00000000"/>
    <w:rsid w:val="7A9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2022-09-01T01:36:38Z</dcterms:created>
  <dc:creator>lenovo</dc:creator>
  <cp:lastModifiedBy>幽香野芳</cp:lastModifiedBy>
  <dcterms:modified xsi:type="dcterms:W3CDTF">2022-09-01T01:36:52Z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4895AB110B6342ECA910762F27F8AE0C</vt:lpwstr>
  </property>
</Properties>
</file>